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2F61E" w14:textId="77777777" w:rsidR="007A1906" w:rsidRPr="00B73CFC" w:rsidRDefault="007A1906" w:rsidP="007A1906">
      <w:pPr>
        <w:rPr>
          <w:rFonts w:ascii="Garamond" w:hAnsi="Garamond"/>
        </w:rPr>
      </w:pPr>
    </w:p>
    <w:p w14:paraId="036A9FED" w14:textId="77777777" w:rsidR="0026363A" w:rsidRDefault="0026363A" w:rsidP="0026363A">
      <w:pPr>
        <w:jc w:val="center"/>
        <w:rPr>
          <w:rFonts w:ascii="Garamond" w:hAnsi="Garamond"/>
          <w:b/>
          <w:sz w:val="36"/>
          <w:u w:val="single"/>
        </w:rPr>
      </w:pPr>
      <w:r>
        <w:rPr>
          <w:rFonts w:ascii="Garamond" w:hAnsi="Garamond"/>
          <w:b/>
          <w:sz w:val="36"/>
          <w:u w:val="single"/>
        </w:rPr>
        <w:t>ARMINIUS #25 – BYLAWS AMENDMENT</w:t>
      </w:r>
    </w:p>
    <w:p w14:paraId="2C860763" w14:textId="77777777" w:rsidR="0026363A" w:rsidRDefault="0026363A" w:rsidP="0026363A">
      <w:pPr>
        <w:jc w:val="center"/>
        <w:rPr>
          <w:rFonts w:ascii="Garamond" w:hAnsi="Garamond"/>
          <w:b/>
          <w:sz w:val="36"/>
          <w:u w:val="single"/>
        </w:rPr>
      </w:pPr>
    </w:p>
    <w:p w14:paraId="2CD634F6" w14:textId="6D41D09F" w:rsidR="0026363A" w:rsidRDefault="0026363A" w:rsidP="0026363A">
      <w:pPr>
        <w:jc w:val="center"/>
        <w:rPr>
          <w:rFonts w:ascii="Garamond" w:hAnsi="Garamond"/>
          <w:b/>
          <w:sz w:val="36"/>
          <w:u w:val="single"/>
        </w:rPr>
      </w:pPr>
      <w:r>
        <w:rPr>
          <w:rFonts w:ascii="Garamond" w:hAnsi="Garamond"/>
          <w:b/>
          <w:sz w:val="36"/>
          <w:u w:val="single"/>
        </w:rPr>
        <w:t>Article XI – Amendments of the By-Laws</w:t>
      </w:r>
    </w:p>
    <w:p w14:paraId="10ED4CBD" w14:textId="77777777" w:rsidR="0026363A" w:rsidRDefault="0026363A" w:rsidP="0026363A">
      <w:pPr>
        <w:jc w:val="center"/>
        <w:rPr>
          <w:rFonts w:ascii="Garamond" w:hAnsi="Garamond"/>
          <w:b/>
          <w:sz w:val="36"/>
          <w:u w:val="single"/>
        </w:rPr>
      </w:pPr>
    </w:p>
    <w:p w14:paraId="30BA8C99" w14:textId="77777777" w:rsidR="0026363A" w:rsidRDefault="0026363A" w:rsidP="0026363A">
      <w:pPr>
        <w:rPr>
          <w:rFonts w:ascii="Garamond" w:hAnsi="Garamond"/>
          <w:b/>
          <w:sz w:val="36"/>
          <w:u w:val="single"/>
        </w:rPr>
      </w:pPr>
      <w:r>
        <w:rPr>
          <w:rFonts w:ascii="Garamond" w:hAnsi="Garamond"/>
          <w:b/>
          <w:sz w:val="36"/>
          <w:u w:val="single"/>
        </w:rPr>
        <w:t>As Reads:</w:t>
      </w:r>
    </w:p>
    <w:p w14:paraId="610BA2C1" w14:textId="77777777" w:rsidR="0026363A" w:rsidRDefault="0026363A" w:rsidP="0026363A">
      <w:pPr>
        <w:jc w:val="center"/>
        <w:rPr>
          <w:sz w:val="32"/>
        </w:rPr>
      </w:pPr>
      <w:r>
        <w:rPr>
          <w:sz w:val="32"/>
        </w:rPr>
        <w:t>Article XI</w:t>
      </w:r>
    </w:p>
    <w:p w14:paraId="166FB41C" w14:textId="77777777" w:rsidR="0026363A" w:rsidRDefault="0026363A" w:rsidP="0026363A">
      <w:pPr>
        <w:jc w:val="center"/>
        <w:rPr>
          <w:rFonts w:ascii="Phyllis ATT" w:hAnsi="Phyllis ATT"/>
          <w:sz w:val="28"/>
        </w:rPr>
      </w:pPr>
      <w:r>
        <w:rPr>
          <w:rFonts w:ascii="Phyllis ATT" w:hAnsi="Phyllis ATT"/>
          <w:sz w:val="28"/>
        </w:rPr>
        <w:t>Amendments of the By-Laws</w:t>
      </w:r>
    </w:p>
    <w:p w14:paraId="565D6286" w14:textId="77777777" w:rsidR="0026363A" w:rsidRDefault="0026363A" w:rsidP="0026363A">
      <w:pPr>
        <w:jc w:val="center"/>
        <w:rPr>
          <w:rFonts w:ascii="Phyllis ATT" w:hAnsi="Phyllis ATT"/>
          <w:sz w:val="28"/>
        </w:rPr>
      </w:pPr>
    </w:p>
    <w:p w14:paraId="57998C0A" w14:textId="77777777" w:rsidR="0026363A" w:rsidRDefault="0026363A" w:rsidP="0026363A">
      <w:r>
        <w:t>Section 1</w:t>
      </w:r>
      <w:proofErr w:type="gramStart"/>
      <w:r>
        <w:t>)  Any</w:t>
      </w:r>
      <w:proofErr w:type="gramEnd"/>
      <w:r>
        <w:t xml:space="preserve"> amendments or alterations to these by-laws shall be read at a stated communication and shall lie over one month , when they shall be acted upon;  but no alterations shall be adopted unless two thirds (2/3) of the members present concur therein.</w:t>
      </w:r>
    </w:p>
    <w:p w14:paraId="389E41E9" w14:textId="77777777" w:rsidR="0026363A" w:rsidRDefault="0026363A" w:rsidP="0026363A">
      <w:r>
        <w:t>Section 2) No part of these by-laws can be temporarily dispensed with under any circumstances whatever, except by dispensation from the Grand Master.</w:t>
      </w:r>
    </w:p>
    <w:p w14:paraId="78A1943E" w14:textId="77777777" w:rsidR="0026363A" w:rsidRDefault="0026363A" w:rsidP="0026363A">
      <w:pPr>
        <w:rPr>
          <w:rFonts w:ascii="Garamond" w:hAnsi="Garamond"/>
          <w:b/>
          <w:sz w:val="36"/>
          <w:u w:val="single"/>
        </w:rPr>
      </w:pPr>
    </w:p>
    <w:p w14:paraId="69C10AC1" w14:textId="77777777" w:rsidR="0026363A" w:rsidRDefault="0026363A" w:rsidP="0026363A">
      <w:pPr>
        <w:rPr>
          <w:rFonts w:ascii="Garamond" w:hAnsi="Garamond"/>
          <w:b/>
          <w:sz w:val="36"/>
          <w:u w:val="single"/>
        </w:rPr>
      </w:pPr>
      <w:r>
        <w:rPr>
          <w:rFonts w:ascii="Garamond" w:hAnsi="Garamond"/>
          <w:b/>
          <w:sz w:val="36"/>
          <w:u w:val="single"/>
        </w:rPr>
        <w:t>As amended:</w:t>
      </w:r>
    </w:p>
    <w:p w14:paraId="0AEC36BB" w14:textId="77777777" w:rsidR="0026363A" w:rsidRPr="00B73CFC" w:rsidRDefault="0026363A" w:rsidP="0026363A">
      <w:pPr>
        <w:jc w:val="center"/>
        <w:rPr>
          <w:rFonts w:ascii="Garamond" w:hAnsi="Garamond"/>
          <w:color w:val="FF0000"/>
          <w:sz w:val="32"/>
        </w:rPr>
      </w:pPr>
      <w:r w:rsidRPr="00B73CFC">
        <w:rPr>
          <w:rFonts w:ascii="Garamond" w:hAnsi="Garamond"/>
          <w:sz w:val="32"/>
        </w:rPr>
        <w:t>Article</w:t>
      </w:r>
      <w:r w:rsidRPr="00B73CFC">
        <w:rPr>
          <w:rFonts w:ascii="Garamond" w:hAnsi="Garamond"/>
          <w:strike/>
          <w:sz w:val="32"/>
        </w:rPr>
        <w:t xml:space="preserve"> XI</w:t>
      </w:r>
      <w:r w:rsidRPr="00B73CFC">
        <w:rPr>
          <w:rFonts w:ascii="Garamond" w:hAnsi="Garamond"/>
          <w:strike/>
          <w:color w:val="FF0000"/>
          <w:sz w:val="32"/>
        </w:rPr>
        <w:t xml:space="preserve"> </w:t>
      </w:r>
      <w:r>
        <w:rPr>
          <w:rFonts w:ascii="Garamond" w:hAnsi="Garamond"/>
          <w:color w:val="FF0000"/>
          <w:sz w:val="32"/>
        </w:rPr>
        <w:t>IX</w:t>
      </w:r>
    </w:p>
    <w:p w14:paraId="22FC516B" w14:textId="77777777" w:rsidR="0026363A" w:rsidRPr="00B73CFC" w:rsidRDefault="0026363A" w:rsidP="0026363A">
      <w:pPr>
        <w:jc w:val="center"/>
        <w:rPr>
          <w:rFonts w:ascii="Garamond" w:hAnsi="Garamond"/>
          <w:sz w:val="28"/>
        </w:rPr>
      </w:pPr>
      <w:r w:rsidRPr="00B73CFC">
        <w:rPr>
          <w:rFonts w:ascii="Garamond" w:hAnsi="Garamond"/>
          <w:sz w:val="28"/>
        </w:rPr>
        <w:t>Amendments of the By-Laws</w:t>
      </w:r>
    </w:p>
    <w:p w14:paraId="44CC332A" w14:textId="77777777" w:rsidR="0026363A" w:rsidRPr="00B73CFC" w:rsidRDefault="0026363A" w:rsidP="0026363A">
      <w:pPr>
        <w:jc w:val="center"/>
        <w:rPr>
          <w:rFonts w:ascii="Garamond" w:hAnsi="Garamond"/>
          <w:sz w:val="28"/>
        </w:rPr>
      </w:pPr>
    </w:p>
    <w:p w14:paraId="68D39C0F" w14:textId="77777777" w:rsidR="0026363A" w:rsidRPr="00B73CFC" w:rsidRDefault="0026363A" w:rsidP="0026363A">
      <w:pPr>
        <w:rPr>
          <w:rFonts w:ascii="Garamond" w:hAnsi="Garamond"/>
        </w:rPr>
      </w:pPr>
      <w:r w:rsidRPr="00B73CFC">
        <w:rPr>
          <w:rFonts w:ascii="Garamond" w:hAnsi="Garamond"/>
        </w:rPr>
        <w:t>Section 1</w:t>
      </w:r>
      <w:proofErr w:type="gramStart"/>
      <w:r w:rsidRPr="00B73CFC">
        <w:rPr>
          <w:rFonts w:ascii="Garamond" w:hAnsi="Garamond"/>
        </w:rPr>
        <w:t>)  Any</w:t>
      </w:r>
      <w:proofErr w:type="gramEnd"/>
      <w:r w:rsidRPr="00B73CFC">
        <w:rPr>
          <w:rFonts w:ascii="Garamond" w:hAnsi="Garamond"/>
        </w:rPr>
        <w:t xml:space="preserve"> amendments or alterations to these by-laws shall be read at a stated communication and shall lie over one </w:t>
      </w:r>
      <w:r w:rsidRPr="00B73CFC">
        <w:rPr>
          <w:rFonts w:ascii="Garamond" w:hAnsi="Garamond"/>
          <w:color w:val="FF0000"/>
        </w:rPr>
        <w:t xml:space="preserve">lunar </w:t>
      </w:r>
      <w:r w:rsidRPr="00B73CFC">
        <w:rPr>
          <w:rFonts w:ascii="Garamond" w:hAnsi="Garamond"/>
        </w:rPr>
        <w:t>month, when they shall be acted upon; but no alterations shall be adopted unless two thirds (2/3) of the members present concur therein.</w:t>
      </w:r>
    </w:p>
    <w:p w14:paraId="1916E86F" w14:textId="77777777" w:rsidR="0026363A" w:rsidRPr="00B73CFC" w:rsidRDefault="0026363A" w:rsidP="0026363A">
      <w:pPr>
        <w:rPr>
          <w:rFonts w:ascii="Garamond" w:hAnsi="Garamond"/>
        </w:rPr>
      </w:pPr>
    </w:p>
    <w:p w14:paraId="1EDF9CE7" w14:textId="77777777" w:rsidR="0026363A" w:rsidRPr="00B73CFC" w:rsidRDefault="0026363A" w:rsidP="0026363A">
      <w:pPr>
        <w:rPr>
          <w:rFonts w:ascii="Garamond" w:hAnsi="Garamond"/>
        </w:rPr>
      </w:pPr>
      <w:r w:rsidRPr="00B73CFC">
        <w:rPr>
          <w:rFonts w:ascii="Garamond" w:hAnsi="Garamond"/>
        </w:rPr>
        <w:t>Section 2) No part of these by-laws can be temporarily dispensed with under any circumstances whatever, except by dispensation from the Grand Master.</w:t>
      </w:r>
    </w:p>
    <w:p w14:paraId="039314B3" w14:textId="77777777" w:rsidR="0026363A" w:rsidRPr="00B73CFC" w:rsidRDefault="0026363A" w:rsidP="0026363A">
      <w:pPr>
        <w:rPr>
          <w:rFonts w:ascii="Garamond" w:hAnsi="Garamond"/>
        </w:rPr>
      </w:pPr>
    </w:p>
    <w:p w14:paraId="586903E5" w14:textId="77777777" w:rsidR="0026363A" w:rsidRDefault="0026363A" w:rsidP="0026363A">
      <w:pPr>
        <w:rPr>
          <w:rFonts w:ascii="Garamond" w:hAnsi="Garamond"/>
          <w:sz w:val="32"/>
        </w:rPr>
      </w:pPr>
    </w:p>
    <w:p w14:paraId="4FC7561C" w14:textId="77777777" w:rsidR="0026363A" w:rsidRDefault="0026363A" w:rsidP="0026363A">
      <w:pPr>
        <w:rPr>
          <w:rFonts w:ascii="Garamond" w:hAnsi="Garamond"/>
          <w:b/>
          <w:bCs/>
          <w:sz w:val="32"/>
          <w:u w:val="single"/>
        </w:rPr>
      </w:pPr>
      <w:r w:rsidRPr="003B3304">
        <w:rPr>
          <w:rFonts w:ascii="Garamond" w:hAnsi="Garamond"/>
          <w:b/>
          <w:bCs/>
          <w:sz w:val="32"/>
          <w:u w:val="single"/>
        </w:rPr>
        <w:t>Rationale:</w:t>
      </w:r>
    </w:p>
    <w:p w14:paraId="2D3F5BEC" w14:textId="567574F8" w:rsidR="0026363A" w:rsidRDefault="0026363A" w:rsidP="0026363A">
      <w:pPr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 xml:space="preserve">The striking of Article IX, and the </w:t>
      </w:r>
      <w:proofErr w:type="spellStart"/>
      <w:r>
        <w:rPr>
          <w:rFonts w:ascii="Garamond" w:hAnsi="Garamond"/>
          <w:sz w:val="32"/>
        </w:rPr>
        <w:t>misnumbering</w:t>
      </w:r>
      <w:proofErr w:type="spellEnd"/>
      <w:r>
        <w:rPr>
          <w:rFonts w:ascii="Garamond" w:hAnsi="Garamond"/>
          <w:sz w:val="32"/>
        </w:rPr>
        <w:t xml:space="preserve"> of articles require this article to be renumbered as Article IX.  Further, adding the word ‘lunar’ keeps the lodge consistent with Grand Lodge code.</w:t>
      </w:r>
      <w:bookmarkStart w:id="0" w:name="_GoBack"/>
      <w:bookmarkEnd w:id="0"/>
    </w:p>
    <w:sectPr w:rsidR="0026363A" w:rsidSect="00A579C3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82156" w14:textId="77777777" w:rsidR="003B0922" w:rsidRDefault="003B0922">
      <w:r>
        <w:separator/>
      </w:r>
    </w:p>
  </w:endnote>
  <w:endnote w:type="continuationSeparator" w:id="0">
    <w:p w14:paraId="0A70CFB7" w14:textId="77777777" w:rsidR="003B0922" w:rsidRDefault="003B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hyllis ATT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C981A" w14:textId="77777777" w:rsidR="00DF5311" w:rsidRDefault="00E62C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63FE08" w14:textId="77777777" w:rsidR="00DF5311" w:rsidRDefault="003B09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AD45A" w14:textId="77777777" w:rsidR="00DF5311" w:rsidRDefault="00E62C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0E48">
      <w:rPr>
        <w:rStyle w:val="PageNumber"/>
        <w:noProof/>
      </w:rPr>
      <w:t>4</w:t>
    </w:r>
    <w:r>
      <w:rPr>
        <w:rStyle w:val="PageNumber"/>
      </w:rPr>
      <w:fldChar w:fldCharType="end"/>
    </w:r>
  </w:p>
  <w:p w14:paraId="1F514A47" w14:textId="77777777" w:rsidR="00DF5311" w:rsidRDefault="003B0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73980" w14:textId="77777777" w:rsidR="003B0922" w:rsidRDefault="003B0922">
      <w:r>
        <w:separator/>
      </w:r>
    </w:p>
  </w:footnote>
  <w:footnote w:type="continuationSeparator" w:id="0">
    <w:p w14:paraId="73917C30" w14:textId="77777777" w:rsidR="003B0922" w:rsidRDefault="003B0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B27A7"/>
    <w:multiLevelType w:val="hybridMultilevel"/>
    <w:tmpl w:val="BCBAA6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21"/>
    <w:rsid w:val="00014A13"/>
    <w:rsid w:val="001163B2"/>
    <w:rsid w:val="001C0A28"/>
    <w:rsid w:val="001D5AD5"/>
    <w:rsid w:val="0026363A"/>
    <w:rsid w:val="00272773"/>
    <w:rsid w:val="002F1F19"/>
    <w:rsid w:val="00375413"/>
    <w:rsid w:val="00395E13"/>
    <w:rsid w:val="003B0922"/>
    <w:rsid w:val="004311ED"/>
    <w:rsid w:val="00450E48"/>
    <w:rsid w:val="005B7E9D"/>
    <w:rsid w:val="005D6A29"/>
    <w:rsid w:val="005F243B"/>
    <w:rsid w:val="00602BFD"/>
    <w:rsid w:val="006136F0"/>
    <w:rsid w:val="00625F3F"/>
    <w:rsid w:val="0079644D"/>
    <w:rsid w:val="007A1906"/>
    <w:rsid w:val="007B5846"/>
    <w:rsid w:val="008776B7"/>
    <w:rsid w:val="008B47BD"/>
    <w:rsid w:val="008D7062"/>
    <w:rsid w:val="00977AD4"/>
    <w:rsid w:val="00A000C4"/>
    <w:rsid w:val="00A23BBC"/>
    <w:rsid w:val="00A579C3"/>
    <w:rsid w:val="00AD6541"/>
    <w:rsid w:val="00AE6387"/>
    <w:rsid w:val="00B73CFC"/>
    <w:rsid w:val="00B8600F"/>
    <w:rsid w:val="00C729D0"/>
    <w:rsid w:val="00D63CDC"/>
    <w:rsid w:val="00DD6FBB"/>
    <w:rsid w:val="00E03406"/>
    <w:rsid w:val="00E34B30"/>
    <w:rsid w:val="00E62C03"/>
    <w:rsid w:val="00E762C1"/>
    <w:rsid w:val="00EA1685"/>
    <w:rsid w:val="00EB6583"/>
    <w:rsid w:val="00EE360F"/>
    <w:rsid w:val="00F23F21"/>
    <w:rsid w:val="00F61DAC"/>
    <w:rsid w:val="00FB0A3E"/>
    <w:rsid w:val="00FC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E564E"/>
  <w15:docId w15:val="{7F7397A0-CAB9-4F04-9CF0-CA41D095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9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A19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A1906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7A1906"/>
  </w:style>
  <w:style w:type="character" w:styleId="CommentReference">
    <w:name w:val="annotation reference"/>
    <w:basedOn w:val="DefaultParagraphFont"/>
    <w:uiPriority w:val="99"/>
    <w:semiHidden/>
    <w:unhideWhenUsed/>
    <w:rsid w:val="00A57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9C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9C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9C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9C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3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5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C6015-6F44-456D-A2DA-7A6390E5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J.D. [USA]</dc:creator>
  <cp:keywords/>
  <dc:description/>
  <cp:lastModifiedBy>J.D. Walker</cp:lastModifiedBy>
  <cp:revision>2</cp:revision>
  <cp:lastPrinted>2015-05-18T20:47:00Z</cp:lastPrinted>
  <dcterms:created xsi:type="dcterms:W3CDTF">2020-03-14T22:32:00Z</dcterms:created>
  <dcterms:modified xsi:type="dcterms:W3CDTF">2020-03-14T22:32:00Z</dcterms:modified>
</cp:coreProperties>
</file>